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5814" w14:textId="77777777" w:rsidR="00CE3896" w:rsidRPr="002C78E0" w:rsidRDefault="00000000">
      <w:pPr>
        <w:jc w:val="center"/>
        <w:rPr>
          <w:lang w:val="es-CR"/>
        </w:rPr>
      </w:pPr>
      <w:r w:rsidRPr="002C78E0">
        <w:rPr>
          <w:b/>
          <w:color w:val="B8956E"/>
          <w:sz w:val="24"/>
          <w:lang w:val="es-CR"/>
        </w:rPr>
        <w:t>RESERVA IRAZÚ</w:t>
      </w:r>
      <w:r w:rsidRPr="002C78E0">
        <w:rPr>
          <w:b/>
          <w:color w:val="B8956E"/>
          <w:sz w:val="24"/>
          <w:lang w:val="es-CR"/>
        </w:rPr>
        <w:br/>
      </w:r>
      <w:r w:rsidRPr="002C78E0">
        <w:rPr>
          <w:b/>
          <w:color w:val="2B2118"/>
          <w:sz w:val="42"/>
          <w:lang w:val="es-CR"/>
        </w:rPr>
        <w:t>Nota bancaria y paquete de análisis de estructura</w:t>
      </w:r>
    </w:p>
    <w:p w14:paraId="584E6E27" w14:textId="77777777" w:rsidR="00CE3896" w:rsidRPr="002C78E0" w:rsidRDefault="00CE3896">
      <w:pPr>
        <w:rPr>
          <w:lang w:val="es-CR"/>
        </w:rPr>
      </w:pPr>
    </w:p>
    <w:p w14:paraId="53E4A097" w14:textId="77777777" w:rsidR="00CE3896" w:rsidRPr="002C78E0" w:rsidRDefault="00000000">
      <w:pPr>
        <w:pStyle w:val="Ttulo1"/>
        <w:rPr>
          <w:lang w:val="es-CR"/>
        </w:rPr>
      </w:pPr>
      <w:r w:rsidRPr="002C78E0">
        <w:rPr>
          <w:lang w:val="es-CR"/>
        </w:rPr>
        <w:t>1. Resumen ejecutivo para comité de crédito</w:t>
      </w:r>
    </w:p>
    <w:p w14:paraId="04F19335" w14:textId="77777777" w:rsidR="00CE3896" w:rsidRPr="002C78E0" w:rsidRDefault="00000000">
      <w:pPr>
        <w:rPr>
          <w:lang w:val="es-CR"/>
        </w:rPr>
      </w:pPr>
      <w:r w:rsidRPr="002C78E0">
        <w:rPr>
          <w:lang w:val="es-CR"/>
        </w:rPr>
        <w:t>Reserva Irazú propone financiar la adquisición de una acción o unidad accionaria vinculada contractualmente a un lote interno dentro de una finca matriz propiedad de la sociedad del proyecto. La estructura no pretende constituir condominio, finca filial ni segregación registral; funciona como una estructura societaria con asignación interna de uso, construcción y disfrute, respaldada por estatutos, acuerdo de accionistas, reglamentos, tabla de aparejamiento, permisos municipales aplicables y documentación de cierre.</w:t>
      </w:r>
    </w:p>
    <w:p w14:paraId="42A8FD45" w14:textId="77777777" w:rsidR="00CE3896" w:rsidRPr="002C78E0" w:rsidRDefault="00000000">
      <w:pPr>
        <w:rPr>
          <w:lang w:val="es-CR"/>
        </w:rPr>
      </w:pPr>
      <w:r w:rsidRPr="002C78E0">
        <w:rPr>
          <w:lang w:val="es-CR"/>
        </w:rPr>
        <w:t>Para el banco, la garantía recomendada no es una promesa informal ni una prenda simple aislada. La estructura sugerida es un fideicomiso de garantía sobre la acción, con endoso de certificados, asiento en el Libro de Registro de Accionistas, custodia fiduciaria y reglas claras de ejecución. Esto permite que la entidad financiera tenga control documental de la garantía y un procedimiento de realización de valor más ordenado que una discusión judicial ordinaria sobre un derecho contractual.</w:t>
      </w:r>
    </w:p>
    <w:p w14:paraId="68090F90" w14:textId="77777777" w:rsidR="00CE3896" w:rsidRPr="002C78E0" w:rsidRDefault="00000000">
      <w:pPr>
        <w:pStyle w:val="Ttulo1"/>
        <w:rPr>
          <w:lang w:val="es-CR"/>
        </w:rPr>
      </w:pPr>
      <w:r w:rsidRPr="002C78E0">
        <w:rPr>
          <w:lang w:val="es-CR"/>
        </w:rPr>
        <w:t>2. Por qué la estructura puede ser atractiva para bancos</w:t>
      </w:r>
    </w:p>
    <w:p w14:paraId="3EA6FCCD" w14:textId="77777777" w:rsidR="00CE3896" w:rsidRPr="002C78E0" w:rsidRDefault="00000000">
      <w:pPr>
        <w:pStyle w:val="Listaconvietas"/>
        <w:rPr>
          <w:lang w:val="es-CR"/>
        </w:rPr>
      </w:pPr>
      <w:r w:rsidRPr="002C78E0">
        <w:rPr>
          <w:lang w:val="es-CR"/>
        </w:rPr>
        <w:t>La garantía puede quedar bajo titularidad o control fiduciario desde el cierre, reduciendo el riesgo de que el deudor disponga de la acción sin autorización bancaria.</w:t>
      </w:r>
    </w:p>
    <w:p w14:paraId="273D171F" w14:textId="77777777" w:rsidR="00CE3896" w:rsidRPr="002C78E0" w:rsidRDefault="00000000">
      <w:pPr>
        <w:pStyle w:val="Listaconvietas"/>
        <w:rPr>
          <w:lang w:val="es-CR"/>
        </w:rPr>
      </w:pPr>
      <w:r w:rsidRPr="002C78E0">
        <w:rPr>
          <w:lang w:val="es-CR"/>
        </w:rPr>
        <w:t>El endoso y asiento en el Libro de Registro de Accionistas permiten que la garantía sea reconocida internamente por la sociedad, no solo frente al comprador.</w:t>
      </w:r>
    </w:p>
    <w:p w14:paraId="6DACC126" w14:textId="77777777" w:rsidR="00CE3896" w:rsidRPr="002C78E0" w:rsidRDefault="00000000">
      <w:pPr>
        <w:pStyle w:val="Listaconvietas"/>
        <w:rPr>
          <w:lang w:val="es-CR"/>
        </w:rPr>
      </w:pPr>
      <w:r w:rsidRPr="002C78E0">
        <w:rPr>
          <w:lang w:val="es-CR"/>
        </w:rPr>
        <w:t>La fiduciaria puede custodiar los certificados accionarios, disminuyendo riesgo operativo de pérdida, doble endoso o transferencia no autorizada.</w:t>
      </w:r>
    </w:p>
    <w:p w14:paraId="177AB42F" w14:textId="77777777" w:rsidR="00CE3896" w:rsidRPr="002C78E0" w:rsidRDefault="00000000">
      <w:pPr>
        <w:pStyle w:val="Listaconvietas"/>
        <w:rPr>
          <w:lang w:val="es-CR"/>
        </w:rPr>
      </w:pPr>
      <w:r w:rsidRPr="002C78E0">
        <w:rPr>
          <w:lang w:val="es-CR"/>
        </w:rPr>
        <w:t xml:space="preserve">El fideicomiso puede prever ejecución por venta o subasta del patrimonio </w:t>
      </w:r>
      <w:proofErr w:type="spellStart"/>
      <w:r w:rsidRPr="002C78E0">
        <w:rPr>
          <w:lang w:val="es-CR"/>
        </w:rPr>
        <w:t>fideicometido</w:t>
      </w:r>
      <w:proofErr w:type="spellEnd"/>
      <w:r w:rsidRPr="002C78E0">
        <w:rPr>
          <w:lang w:val="es-CR"/>
        </w:rPr>
        <w:t xml:space="preserve"> ante incumplimiento, con aplicación del producto al saldo del crédito.</w:t>
      </w:r>
    </w:p>
    <w:p w14:paraId="595F3FC5" w14:textId="77777777" w:rsidR="00CE3896" w:rsidRPr="002C78E0" w:rsidRDefault="00000000">
      <w:pPr>
        <w:pStyle w:val="Listaconvietas"/>
        <w:rPr>
          <w:lang w:val="es-CR"/>
        </w:rPr>
      </w:pPr>
      <w:r w:rsidRPr="002C78E0">
        <w:rPr>
          <w:lang w:val="es-CR"/>
        </w:rPr>
        <w:t>La sociedad mantiene una finca matriz única y una administración centralizada, evitando que problemas registrales de una finca individual contaminen la estructura global del proyecto.</w:t>
      </w:r>
    </w:p>
    <w:p w14:paraId="361E5A75" w14:textId="77777777" w:rsidR="00CE3896" w:rsidRPr="002C78E0" w:rsidRDefault="00000000">
      <w:pPr>
        <w:pStyle w:val="Listaconvietas"/>
        <w:rPr>
          <w:lang w:val="es-CR"/>
        </w:rPr>
      </w:pPr>
      <w:r w:rsidRPr="002C78E0">
        <w:rPr>
          <w:lang w:val="es-CR"/>
        </w:rPr>
        <w:t>La documentación interna permite aislar obligaciones individuales: un comprador incumplido no debería arrastrar a los demás compradores ni afectar la asignación de otros sectores internos.</w:t>
      </w:r>
    </w:p>
    <w:p w14:paraId="458117F1" w14:textId="77777777" w:rsidR="00CE3896" w:rsidRPr="002C78E0" w:rsidRDefault="00000000">
      <w:pPr>
        <w:pStyle w:val="Listaconvietas"/>
        <w:rPr>
          <w:lang w:val="es-CR"/>
        </w:rPr>
      </w:pPr>
      <w:r w:rsidRPr="002C78E0">
        <w:rPr>
          <w:lang w:val="es-CR"/>
        </w:rPr>
        <w:t xml:space="preserve">El banco puede pedir pólizas, fiadores, cesión de derechos, obligación de información, pagos de cuotas internas y cumplimiento constructivo como </w:t>
      </w:r>
      <w:proofErr w:type="spellStart"/>
      <w:r w:rsidRPr="002C78E0">
        <w:rPr>
          <w:lang w:val="es-CR"/>
        </w:rPr>
        <w:t>covenants</w:t>
      </w:r>
      <w:proofErr w:type="spellEnd"/>
      <w:r w:rsidRPr="002C78E0">
        <w:rPr>
          <w:lang w:val="es-CR"/>
        </w:rPr>
        <w:t xml:space="preserve"> adicionales.</w:t>
      </w:r>
    </w:p>
    <w:p w14:paraId="04803F70" w14:textId="77777777" w:rsidR="00CE3896" w:rsidRPr="002C78E0" w:rsidRDefault="00000000">
      <w:pPr>
        <w:pStyle w:val="Listaconvietas"/>
        <w:rPr>
          <w:lang w:val="es-CR"/>
        </w:rPr>
      </w:pPr>
      <w:r w:rsidRPr="002C78E0">
        <w:rPr>
          <w:lang w:val="es-CR"/>
        </w:rPr>
        <w:t>La figura puede ser estandarizada: mismo paquete documental, mismo flujo de cierre, misma tabla de control y misma estructura de garantía por cada comprador financiado.</w:t>
      </w:r>
    </w:p>
    <w:p w14:paraId="470E58B8" w14:textId="77777777" w:rsidR="00CE3896" w:rsidRDefault="00000000">
      <w:pPr>
        <w:pStyle w:val="Ttulo1"/>
      </w:pPr>
      <w:r>
        <w:t>3. Comparación frente a hipoteca tradicional</w:t>
      </w:r>
    </w:p>
    <w:tbl>
      <w:tblPr>
        <w:tblStyle w:val="Tablaconcuadrcula"/>
        <w:tblW w:w="0" w:type="auto"/>
        <w:jc w:val="center"/>
        <w:tblLook w:val="04A0" w:firstRow="1" w:lastRow="0" w:firstColumn="1" w:lastColumn="0" w:noHBand="0" w:noVBand="1"/>
      </w:tblPr>
      <w:tblGrid>
        <w:gridCol w:w="3385"/>
        <w:gridCol w:w="3386"/>
        <w:gridCol w:w="3385"/>
      </w:tblGrid>
      <w:tr w:rsidR="00CE3896" w:rsidRPr="002C78E0" w14:paraId="1B918C42" w14:textId="77777777">
        <w:trPr>
          <w:jc w:val="center"/>
        </w:trPr>
        <w:tc>
          <w:tcPr>
            <w:tcW w:w="3389" w:type="dxa"/>
            <w:shd w:val="clear" w:color="auto" w:fill="2B2118"/>
          </w:tcPr>
          <w:p w14:paraId="0C6E6B0E" w14:textId="77777777" w:rsidR="00CE3896" w:rsidRDefault="00000000">
            <w:r>
              <w:rPr>
                <w:b/>
                <w:color w:val="FFFFFF"/>
                <w:sz w:val="18"/>
              </w:rPr>
              <w:t>Tema</w:t>
            </w:r>
          </w:p>
        </w:tc>
        <w:tc>
          <w:tcPr>
            <w:tcW w:w="3389" w:type="dxa"/>
            <w:shd w:val="clear" w:color="auto" w:fill="2B2118"/>
          </w:tcPr>
          <w:p w14:paraId="030DB442" w14:textId="77777777" w:rsidR="00CE3896" w:rsidRDefault="00000000">
            <w:r>
              <w:rPr>
                <w:b/>
                <w:color w:val="FFFFFF"/>
                <w:sz w:val="18"/>
              </w:rPr>
              <w:t>Hipoteca sobre finca individual</w:t>
            </w:r>
          </w:p>
        </w:tc>
        <w:tc>
          <w:tcPr>
            <w:tcW w:w="3389" w:type="dxa"/>
            <w:shd w:val="clear" w:color="auto" w:fill="2B2118"/>
          </w:tcPr>
          <w:p w14:paraId="3FC8F5FC" w14:textId="77777777" w:rsidR="00CE3896" w:rsidRPr="002C78E0" w:rsidRDefault="00000000">
            <w:pPr>
              <w:rPr>
                <w:lang w:val="es-CR"/>
              </w:rPr>
            </w:pPr>
            <w:r w:rsidRPr="002C78E0">
              <w:rPr>
                <w:b/>
                <w:color w:val="FFFFFF"/>
                <w:sz w:val="18"/>
                <w:lang w:val="es-CR"/>
              </w:rPr>
              <w:t>Fideicomiso de garantía sobre acción Reserva Irazú</w:t>
            </w:r>
          </w:p>
        </w:tc>
      </w:tr>
      <w:tr w:rsidR="00CE3896" w:rsidRPr="002C78E0" w14:paraId="2F49097A" w14:textId="77777777">
        <w:trPr>
          <w:jc w:val="center"/>
        </w:trPr>
        <w:tc>
          <w:tcPr>
            <w:tcW w:w="3389" w:type="dxa"/>
          </w:tcPr>
          <w:p w14:paraId="39BE83F0" w14:textId="77777777" w:rsidR="00CE3896" w:rsidRDefault="00000000">
            <w:proofErr w:type="spellStart"/>
            <w:r>
              <w:rPr>
                <w:sz w:val="17"/>
              </w:rPr>
              <w:t>Objeto</w:t>
            </w:r>
            <w:proofErr w:type="spellEnd"/>
            <w:r>
              <w:rPr>
                <w:sz w:val="17"/>
              </w:rPr>
              <w:t xml:space="preserve"> de </w:t>
            </w:r>
            <w:proofErr w:type="spellStart"/>
            <w:r>
              <w:rPr>
                <w:sz w:val="17"/>
              </w:rPr>
              <w:t>garantía</w:t>
            </w:r>
            <w:proofErr w:type="spellEnd"/>
          </w:p>
        </w:tc>
        <w:tc>
          <w:tcPr>
            <w:tcW w:w="3389" w:type="dxa"/>
          </w:tcPr>
          <w:p w14:paraId="5CD85E5C" w14:textId="77777777" w:rsidR="00CE3896" w:rsidRPr="002C78E0" w:rsidRDefault="00000000">
            <w:pPr>
              <w:rPr>
                <w:lang w:val="es-CR"/>
              </w:rPr>
            </w:pPr>
            <w:r w:rsidRPr="002C78E0">
              <w:rPr>
                <w:sz w:val="17"/>
                <w:lang w:val="es-CR"/>
              </w:rPr>
              <w:t>Finca individual inscrita a nombre del deudor.</w:t>
            </w:r>
          </w:p>
        </w:tc>
        <w:tc>
          <w:tcPr>
            <w:tcW w:w="3389" w:type="dxa"/>
          </w:tcPr>
          <w:p w14:paraId="73A8D6E5" w14:textId="77777777" w:rsidR="00CE3896" w:rsidRPr="002C78E0" w:rsidRDefault="00000000">
            <w:pPr>
              <w:rPr>
                <w:lang w:val="es-CR"/>
              </w:rPr>
            </w:pPr>
            <w:r w:rsidRPr="002C78E0">
              <w:rPr>
                <w:sz w:val="17"/>
                <w:lang w:val="es-CR"/>
              </w:rPr>
              <w:t>Acción o unidad accionaria vinculada a lote interno, bajo control fiduciario.</w:t>
            </w:r>
          </w:p>
        </w:tc>
      </w:tr>
      <w:tr w:rsidR="00CE3896" w:rsidRPr="002C78E0" w14:paraId="2BA90D01" w14:textId="77777777">
        <w:trPr>
          <w:jc w:val="center"/>
        </w:trPr>
        <w:tc>
          <w:tcPr>
            <w:tcW w:w="3389" w:type="dxa"/>
          </w:tcPr>
          <w:p w14:paraId="1FFD5195" w14:textId="77777777" w:rsidR="00CE3896" w:rsidRDefault="00000000">
            <w:r>
              <w:rPr>
                <w:sz w:val="17"/>
              </w:rPr>
              <w:t xml:space="preserve">Control del </w:t>
            </w:r>
            <w:proofErr w:type="spellStart"/>
            <w:r>
              <w:rPr>
                <w:sz w:val="17"/>
              </w:rPr>
              <w:t>activo</w:t>
            </w:r>
            <w:proofErr w:type="spellEnd"/>
          </w:p>
        </w:tc>
        <w:tc>
          <w:tcPr>
            <w:tcW w:w="3389" w:type="dxa"/>
          </w:tcPr>
          <w:p w14:paraId="542F86D0" w14:textId="77777777" w:rsidR="00CE3896" w:rsidRPr="002C78E0" w:rsidRDefault="00000000">
            <w:pPr>
              <w:rPr>
                <w:lang w:val="es-CR"/>
              </w:rPr>
            </w:pPr>
            <w:r w:rsidRPr="002C78E0">
              <w:rPr>
                <w:sz w:val="17"/>
                <w:lang w:val="es-CR"/>
              </w:rPr>
              <w:t>El deudor sigue siendo titular registral; se requiere vigilancia de anotaciones, embargos, gravámenes y procesos externos.</w:t>
            </w:r>
          </w:p>
        </w:tc>
        <w:tc>
          <w:tcPr>
            <w:tcW w:w="3389" w:type="dxa"/>
          </w:tcPr>
          <w:p w14:paraId="3E53B08E" w14:textId="77777777" w:rsidR="00CE3896" w:rsidRPr="002C78E0" w:rsidRDefault="00000000">
            <w:pPr>
              <w:rPr>
                <w:lang w:val="es-CR"/>
              </w:rPr>
            </w:pPr>
            <w:r w:rsidRPr="002C78E0">
              <w:rPr>
                <w:sz w:val="17"/>
                <w:lang w:val="es-CR"/>
              </w:rPr>
              <w:t>La acción puede quedar endosada y custodiada por fiduciaria; la sociedad reconoce la titularidad fiduciaria o restricción interna.</w:t>
            </w:r>
          </w:p>
        </w:tc>
      </w:tr>
      <w:tr w:rsidR="00CE3896" w:rsidRPr="002C78E0" w14:paraId="606CC0EA" w14:textId="77777777">
        <w:trPr>
          <w:jc w:val="center"/>
        </w:trPr>
        <w:tc>
          <w:tcPr>
            <w:tcW w:w="3389" w:type="dxa"/>
          </w:tcPr>
          <w:p w14:paraId="0F64BBE7" w14:textId="77777777" w:rsidR="00CE3896" w:rsidRDefault="00000000">
            <w:proofErr w:type="spellStart"/>
            <w:r>
              <w:rPr>
                <w:sz w:val="17"/>
              </w:rPr>
              <w:t>Ejecución</w:t>
            </w:r>
            <w:proofErr w:type="spellEnd"/>
          </w:p>
        </w:tc>
        <w:tc>
          <w:tcPr>
            <w:tcW w:w="3389" w:type="dxa"/>
          </w:tcPr>
          <w:p w14:paraId="26894CE9" w14:textId="77777777" w:rsidR="00CE3896" w:rsidRPr="002C78E0" w:rsidRDefault="00000000">
            <w:pPr>
              <w:rPr>
                <w:lang w:val="es-CR"/>
              </w:rPr>
            </w:pPr>
            <w:r w:rsidRPr="002C78E0">
              <w:rPr>
                <w:sz w:val="17"/>
                <w:lang w:val="es-CR"/>
              </w:rPr>
              <w:t>Proceso judicial o extrajudicial hipotecario según estructura, con costos y tiempos variables.</w:t>
            </w:r>
          </w:p>
        </w:tc>
        <w:tc>
          <w:tcPr>
            <w:tcW w:w="3389" w:type="dxa"/>
          </w:tcPr>
          <w:p w14:paraId="7C583EC3" w14:textId="77777777" w:rsidR="00CE3896" w:rsidRPr="002C78E0" w:rsidRDefault="00000000">
            <w:pPr>
              <w:rPr>
                <w:lang w:val="es-CR"/>
              </w:rPr>
            </w:pPr>
            <w:r w:rsidRPr="002C78E0">
              <w:rPr>
                <w:sz w:val="17"/>
                <w:lang w:val="es-CR"/>
              </w:rPr>
              <w:t>Venta/subasta fiduciaria pactada contractualmente, sujeta a legalidad y reglas del fideicomiso.</w:t>
            </w:r>
          </w:p>
        </w:tc>
      </w:tr>
      <w:tr w:rsidR="00CE3896" w:rsidRPr="002C78E0" w14:paraId="2E8EBBE8" w14:textId="77777777">
        <w:trPr>
          <w:jc w:val="center"/>
        </w:trPr>
        <w:tc>
          <w:tcPr>
            <w:tcW w:w="3389" w:type="dxa"/>
          </w:tcPr>
          <w:p w14:paraId="4731B76F" w14:textId="77777777" w:rsidR="00CE3896" w:rsidRPr="002C78E0" w:rsidRDefault="00000000">
            <w:pPr>
              <w:rPr>
                <w:lang w:val="es-CR"/>
              </w:rPr>
            </w:pPr>
            <w:r w:rsidRPr="002C78E0">
              <w:rPr>
                <w:sz w:val="17"/>
                <w:lang w:val="es-CR"/>
              </w:rPr>
              <w:t xml:space="preserve">Riesgo de anotaciones sobre finca </w:t>
            </w:r>
            <w:r w:rsidRPr="002C78E0">
              <w:rPr>
                <w:sz w:val="17"/>
                <w:lang w:val="es-CR"/>
              </w:rPr>
              <w:lastRenderedPageBreak/>
              <w:t>individual</w:t>
            </w:r>
          </w:p>
        </w:tc>
        <w:tc>
          <w:tcPr>
            <w:tcW w:w="3389" w:type="dxa"/>
          </w:tcPr>
          <w:p w14:paraId="595702C7" w14:textId="77777777" w:rsidR="00CE3896" w:rsidRPr="002C78E0" w:rsidRDefault="00000000">
            <w:pPr>
              <w:rPr>
                <w:lang w:val="es-CR"/>
              </w:rPr>
            </w:pPr>
            <w:r w:rsidRPr="002C78E0">
              <w:rPr>
                <w:sz w:val="17"/>
                <w:lang w:val="es-CR"/>
              </w:rPr>
              <w:lastRenderedPageBreak/>
              <w:t xml:space="preserve">Al ser activo registral individual, puede </w:t>
            </w:r>
            <w:r w:rsidRPr="002C78E0">
              <w:rPr>
                <w:sz w:val="17"/>
                <w:lang w:val="es-CR"/>
              </w:rPr>
              <w:lastRenderedPageBreak/>
              <w:t>recibir embargos/anotaciones del deudor.</w:t>
            </w:r>
          </w:p>
        </w:tc>
        <w:tc>
          <w:tcPr>
            <w:tcW w:w="3389" w:type="dxa"/>
          </w:tcPr>
          <w:p w14:paraId="7A1263E2" w14:textId="77777777" w:rsidR="00CE3896" w:rsidRPr="002C78E0" w:rsidRDefault="00000000">
            <w:pPr>
              <w:rPr>
                <w:lang w:val="es-CR"/>
              </w:rPr>
            </w:pPr>
            <w:r w:rsidRPr="002C78E0">
              <w:rPr>
                <w:sz w:val="17"/>
                <w:lang w:val="es-CR"/>
              </w:rPr>
              <w:lastRenderedPageBreak/>
              <w:t xml:space="preserve">La finca matriz no se traspasa al </w:t>
            </w:r>
            <w:r w:rsidRPr="002C78E0">
              <w:rPr>
                <w:sz w:val="17"/>
                <w:lang w:val="es-CR"/>
              </w:rPr>
              <w:lastRenderedPageBreak/>
              <w:t>comprador. El banco controla la acción; deben reforzarse restricciones de traspaso y custodia.</w:t>
            </w:r>
          </w:p>
        </w:tc>
      </w:tr>
      <w:tr w:rsidR="00CE3896" w:rsidRPr="002C78E0" w14:paraId="7485A35C" w14:textId="77777777">
        <w:trPr>
          <w:jc w:val="center"/>
        </w:trPr>
        <w:tc>
          <w:tcPr>
            <w:tcW w:w="3389" w:type="dxa"/>
          </w:tcPr>
          <w:p w14:paraId="34CB6EDA" w14:textId="77777777" w:rsidR="00CE3896" w:rsidRDefault="00000000">
            <w:proofErr w:type="spellStart"/>
            <w:r>
              <w:rPr>
                <w:sz w:val="17"/>
              </w:rPr>
              <w:lastRenderedPageBreak/>
              <w:t>Administración</w:t>
            </w:r>
            <w:proofErr w:type="spellEnd"/>
            <w:r>
              <w:rPr>
                <w:sz w:val="17"/>
              </w:rPr>
              <w:t xml:space="preserve"> del </w:t>
            </w:r>
            <w:proofErr w:type="spellStart"/>
            <w:r>
              <w:rPr>
                <w:sz w:val="17"/>
              </w:rPr>
              <w:t>proyecto</w:t>
            </w:r>
            <w:proofErr w:type="spellEnd"/>
          </w:p>
        </w:tc>
        <w:tc>
          <w:tcPr>
            <w:tcW w:w="3389" w:type="dxa"/>
          </w:tcPr>
          <w:p w14:paraId="7B68642E" w14:textId="77777777" w:rsidR="00CE3896" w:rsidRPr="002C78E0" w:rsidRDefault="00000000">
            <w:pPr>
              <w:rPr>
                <w:lang w:val="es-CR"/>
              </w:rPr>
            </w:pPr>
            <w:r w:rsidRPr="002C78E0">
              <w:rPr>
                <w:sz w:val="17"/>
                <w:lang w:val="es-CR"/>
              </w:rPr>
              <w:t>Cada propietario puede operar como dueño independiente de finca.</w:t>
            </w:r>
          </w:p>
        </w:tc>
        <w:tc>
          <w:tcPr>
            <w:tcW w:w="3389" w:type="dxa"/>
          </w:tcPr>
          <w:p w14:paraId="6ED82162" w14:textId="77777777" w:rsidR="00CE3896" w:rsidRPr="002C78E0" w:rsidRDefault="00000000">
            <w:pPr>
              <w:rPr>
                <w:lang w:val="es-CR"/>
              </w:rPr>
            </w:pPr>
            <w:r w:rsidRPr="002C78E0">
              <w:rPr>
                <w:sz w:val="17"/>
                <w:lang w:val="es-CR"/>
              </w:rPr>
              <w:t>La sociedad y reglamentos centralizan reglas de construcción, uso, acceso, mantenimiento y no afectación cruzada.</w:t>
            </w:r>
          </w:p>
        </w:tc>
      </w:tr>
      <w:tr w:rsidR="00CE3896" w:rsidRPr="002C78E0" w14:paraId="0925FE7B" w14:textId="77777777">
        <w:trPr>
          <w:jc w:val="center"/>
        </w:trPr>
        <w:tc>
          <w:tcPr>
            <w:tcW w:w="3389" w:type="dxa"/>
          </w:tcPr>
          <w:p w14:paraId="45D8FCE1" w14:textId="77777777" w:rsidR="00CE3896" w:rsidRDefault="00000000">
            <w:proofErr w:type="spellStart"/>
            <w:r>
              <w:rPr>
                <w:sz w:val="17"/>
              </w:rPr>
              <w:t>Uniformidad</w:t>
            </w:r>
            <w:proofErr w:type="spellEnd"/>
            <w:r>
              <w:rPr>
                <w:sz w:val="17"/>
              </w:rPr>
              <w:t xml:space="preserve"> documental</w:t>
            </w:r>
          </w:p>
        </w:tc>
        <w:tc>
          <w:tcPr>
            <w:tcW w:w="3389" w:type="dxa"/>
          </w:tcPr>
          <w:p w14:paraId="306A1257" w14:textId="77777777" w:rsidR="00CE3896" w:rsidRPr="002C78E0" w:rsidRDefault="00000000">
            <w:pPr>
              <w:rPr>
                <w:lang w:val="es-CR"/>
              </w:rPr>
            </w:pPr>
            <w:r w:rsidRPr="002C78E0">
              <w:rPr>
                <w:sz w:val="17"/>
                <w:lang w:val="es-CR"/>
              </w:rPr>
              <w:t>Depende de cada escritura e hipoteca.</w:t>
            </w:r>
          </w:p>
        </w:tc>
        <w:tc>
          <w:tcPr>
            <w:tcW w:w="3389" w:type="dxa"/>
          </w:tcPr>
          <w:p w14:paraId="704E5BD5" w14:textId="77777777" w:rsidR="00CE3896" w:rsidRPr="002C78E0" w:rsidRDefault="00000000">
            <w:pPr>
              <w:rPr>
                <w:lang w:val="es-CR"/>
              </w:rPr>
            </w:pPr>
            <w:r w:rsidRPr="002C78E0">
              <w:rPr>
                <w:sz w:val="17"/>
                <w:lang w:val="es-CR"/>
              </w:rPr>
              <w:t>Permite paquete repetible: crédito, fideicomiso, endoso, libro, custodia, adhesión y certificaciones.</w:t>
            </w:r>
          </w:p>
        </w:tc>
      </w:tr>
    </w:tbl>
    <w:p w14:paraId="11A07127" w14:textId="77777777" w:rsidR="00CE3896" w:rsidRPr="002C78E0" w:rsidRDefault="00CE3896">
      <w:pPr>
        <w:rPr>
          <w:lang w:val="es-CR"/>
        </w:rPr>
      </w:pPr>
    </w:p>
    <w:p w14:paraId="5321AF0C" w14:textId="77777777" w:rsidR="00CE3896" w:rsidRPr="002C78E0" w:rsidRDefault="00000000">
      <w:pPr>
        <w:pStyle w:val="Ttulo1"/>
        <w:rPr>
          <w:lang w:val="es-CR"/>
        </w:rPr>
      </w:pPr>
      <w:r w:rsidRPr="002C78E0">
        <w:rPr>
          <w:lang w:val="es-CR"/>
        </w:rPr>
        <w:t>4. Seguridad jurídica específica para la entidad financiera</w:t>
      </w:r>
    </w:p>
    <w:p w14:paraId="4E453CF2" w14:textId="77777777" w:rsidR="00CE3896" w:rsidRPr="002C78E0" w:rsidRDefault="00000000">
      <w:pPr>
        <w:pStyle w:val="Listaconnmeros"/>
        <w:rPr>
          <w:lang w:val="es-CR"/>
        </w:rPr>
      </w:pPr>
      <w:r w:rsidRPr="002C78E0">
        <w:rPr>
          <w:lang w:val="es-CR"/>
        </w:rPr>
        <w:t>Control de titularidad: endoso del certificado accionario a la fiduciaria o mecanismo equivalente aprobado por banco y fiduciaria.</w:t>
      </w:r>
    </w:p>
    <w:p w14:paraId="513FE4BB" w14:textId="77777777" w:rsidR="00CE3896" w:rsidRPr="002C78E0" w:rsidRDefault="00000000">
      <w:pPr>
        <w:pStyle w:val="Listaconnmeros"/>
        <w:rPr>
          <w:lang w:val="es-CR"/>
        </w:rPr>
      </w:pPr>
      <w:r w:rsidRPr="002C78E0">
        <w:rPr>
          <w:lang w:val="es-CR"/>
        </w:rPr>
        <w:t>Oponibilidad interna: asiento en el Libro de Registro de Accionistas indicando la transferencia fiduciaria, restricción o control de garantía.</w:t>
      </w:r>
    </w:p>
    <w:p w14:paraId="1B36CB74" w14:textId="77777777" w:rsidR="00CE3896" w:rsidRPr="002C78E0" w:rsidRDefault="00000000">
      <w:pPr>
        <w:pStyle w:val="Listaconnmeros"/>
        <w:rPr>
          <w:lang w:val="es-CR"/>
        </w:rPr>
      </w:pPr>
      <w:r w:rsidRPr="002C78E0">
        <w:rPr>
          <w:lang w:val="es-CR"/>
        </w:rPr>
        <w:t>Custodia documental: recibo firmado de certificados accionarios bajo custodia fiduciaria.</w:t>
      </w:r>
    </w:p>
    <w:p w14:paraId="2027DBBD" w14:textId="77777777" w:rsidR="00CE3896" w:rsidRPr="002C78E0" w:rsidRDefault="00000000">
      <w:pPr>
        <w:pStyle w:val="Listaconnmeros"/>
        <w:rPr>
          <w:lang w:val="es-CR"/>
        </w:rPr>
      </w:pPr>
      <w:r w:rsidRPr="002C78E0">
        <w:rPr>
          <w:lang w:val="es-CR"/>
        </w:rPr>
        <w:t>Reconocimiento societario: carta o certificación de la sociedad confirmando acción, lote interno asignado, restricciones de transferencia y obligación de adhesión de cualquier adjudicatario.</w:t>
      </w:r>
    </w:p>
    <w:p w14:paraId="342596C9" w14:textId="77777777" w:rsidR="00CE3896" w:rsidRPr="002C78E0" w:rsidRDefault="00000000">
      <w:pPr>
        <w:pStyle w:val="Listaconnmeros"/>
        <w:rPr>
          <w:lang w:val="es-CR"/>
        </w:rPr>
      </w:pPr>
      <w:r w:rsidRPr="002C78E0">
        <w:rPr>
          <w:lang w:val="es-CR"/>
        </w:rPr>
        <w:t>Continuidad de uso: mientras el comprador esté al día, conserva uso, disfrute, construcción y derechos económicos, lo cual mantiene valor de mercado de la garantía.</w:t>
      </w:r>
    </w:p>
    <w:p w14:paraId="21166E8B" w14:textId="77777777" w:rsidR="00CE3896" w:rsidRPr="002C78E0" w:rsidRDefault="00000000">
      <w:pPr>
        <w:pStyle w:val="Listaconnmeros"/>
        <w:rPr>
          <w:lang w:val="es-CR"/>
        </w:rPr>
      </w:pPr>
      <w:r w:rsidRPr="002C78E0">
        <w:rPr>
          <w:lang w:val="es-CR"/>
        </w:rPr>
        <w:t>Ejecución ordenada: ante default, el fiduciario puede vender/subastar la acción y transferirla a un adquirente elegible que se adhiera al paquete documental.</w:t>
      </w:r>
    </w:p>
    <w:p w14:paraId="749B95F2" w14:textId="77777777" w:rsidR="00CE3896" w:rsidRPr="002C78E0" w:rsidRDefault="00000000">
      <w:pPr>
        <w:pStyle w:val="Listaconnmeros"/>
        <w:rPr>
          <w:lang w:val="es-CR"/>
        </w:rPr>
      </w:pPr>
      <w:r w:rsidRPr="002C78E0">
        <w:rPr>
          <w:lang w:val="es-CR"/>
        </w:rPr>
        <w:t>No afectación cruzada: obligaciones de otros compradores no gravan ni reducen la acción dada en garantía, salvo cargas generales previamente reveladas y documentadas.</w:t>
      </w:r>
    </w:p>
    <w:p w14:paraId="0FD461BF" w14:textId="77777777" w:rsidR="00CE3896" w:rsidRPr="002C78E0" w:rsidRDefault="00000000">
      <w:pPr>
        <w:pStyle w:val="Listaconnmeros"/>
        <w:rPr>
          <w:lang w:val="es-CR"/>
        </w:rPr>
      </w:pPr>
      <w:proofErr w:type="spellStart"/>
      <w:r w:rsidRPr="002C78E0">
        <w:rPr>
          <w:lang w:val="es-CR"/>
        </w:rPr>
        <w:t>Covenants</w:t>
      </w:r>
      <w:proofErr w:type="spellEnd"/>
      <w:r w:rsidRPr="002C78E0">
        <w:rPr>
          <w:lang w:val="es-CR"/>
        </w:rPr>
        <w:t xml:space="preserve"> bancarios: pago de cuotas internas, impuestos que correspondan, seguros, cumplimiento municipal, mantenimiento y entrega periódica de información.</w:t>
      </w:r>
    </w:p>
    <w:p w14:paraId="092A181A" w14:textId="77777777" w:rsidR="00CE3896" w:rsidRPr="002C78E0" w:rsidRDefault="00CE3896">
      <w:pPr>
        <w:rPr>
          <w:lang w:val="es-CR"/>
        </w:rPr>
      </w:pPr>
    </w:p>
    <w:sectPr w:rsidR="00CE3896" w:rsidRPr="002C78E0" w:rsidSect="00034616">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327176034">
    <w:abstractNumId w:val="8"/>
  </w:num>
  <w:num w:numId="2" w16cid:durableId="1750736355">
    <w:abstractNumId w:val="6"/>
  </w:num>
  <w:num w:numId="3" w16cid:durableId="1202592910">
    <w:abstractNumId w:val="5"/>
  </w:num>
  <w:num w:numId="4" w16cid:durableId="1490101209">
    <w:abstractNumId w:val="4"/>
  </w:num>
  <w:num w:numId="5" w16cid:durableId="269551431">
    <w:abstractNumId w:val="7"/>
  </w:num>
  <w:num w:numId="6" w16cid:durableId="247156688">
    <w:abstractNumId w:val="3"/>
  </w:num>
  <w:num w:numId="7" w16cid:durableId="2130934650">
    <w:abstractNumId w:val="2"/>
  </w:num>
  <w:num w:numId="8" w16cid:durableId="860359523">
    <w:abstractNumId w:val="1"/>
  </w:num>
  <w:num w:numId="9" w16cid:durableId="29125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78E0"/>
    <w:rsid w:val="00326F90"/>
    <w:rsid w:val="00AA1D8D"/>
    <w:rsid w:val="00B47730"/>
    <w:rsid w:val="00CB0664"/>
    <w:rsid w:val="00CE38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0DAE2"/>
  <w14:defaultImageDpi w14:val="300"/>
  <w15:docId w15:val="{52004746-9686-1F46-9544-DF7F5080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2B2118"/>
      <w:sz w:val="36"/>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2B2118"/>
      <w:sz w:val="28"/>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2B2118"/>
      <w:sz w:val="24"/>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 Navarro Jiménez</cp:lastModifiedBy>
  <cp:revision>2</cp:revision>
  <dcterms:created xsi:type="dcterms:W3CDTF">2026-05-14T22:43:00Z</dcterms:created>
  <dcterms:modified xsi:type="dcterms:W3CDTF">2026-05-14T22:43:00Z</dcterms:modified>
  <cp:category/>
</cp:coreProperties>
</file>