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38E8" w14:textId="77777777" w:rsidR="00000000" w:rsidRDefault="00000000">
      <w:pPr>
        <w:outlineLvl w:val="1"/>
        <w:divId w:val="790591928"/>
        <w:rPr>
          <w:rFonts w:ascii="Arial" w:eastAsia="Times New Roman" w:hAnsi="Arial" w:cs="Arial"/>
          <w:b/>
          <w:bCs/>
          <w:color w:val="1F2933"/>
          <w:spacing w:val="30"/>
          <w:kern w:val="36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1F2933"/>
          <w:spacing w:val="30"/>
          <w:kern w:val="36"/>
          <w:sz w:val="33"/>
          <w:szCs w:val="33"/>
        </w:rPr>
        <w:t>RESERVA IRAZU</w:t>
      </w:r>
    </w:p>
    <w:p w14:paraId="4AA61AD6" w14:textId="77777777" w:rsidR="00000000" w:rsidRDefault="00000000">
      <w:pPr>
        <w:spacing w:before="60"/>
        <w:divId w:val="790591928"/>
        <w:rPr>
          <w:rFonts w:ascii="Arial" w:hAnsi="Arial" w:cs="Arial"/>
          <w:caps/>
          <w:color w:val="52606D"/>
          <w:sz w:val="17"/>
          <w:szCs w:val="17"/>
        </w:rPr>
      </w:pPr>
      <w:r>
        <w:rPr>
          <w:rFonts w:ascii="Arial" w:hAnsi="Arial" w:cs="Arial"/>
          <w:caps/>
          <w:color w:val="52606D"/>
          <w:sz w:val="17"/>
          <w:szCs w:val="17"/>
        </w:rPr>
        <w:t>Carta explicativa para entidad financiera</w:t>
      </w:r>
    </w:p>
    <w:p w14:paraId="616055A3" w14:textId="79D66F46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proofErr w:type="spellStart"/>
      <w:r>
        <w:rPr>
          <w:rStyle w:val="Textoennegrita"/>
          <w:rFonts w:ascii="Arial" w:hAnsi="Arial" w:cs="Arial"/>
          <w:color w:val="1F2933"/>
        </w:rPr>
        <w:t>Senores</w:t>
      </w:r>
      <w:proofErr w:type="spellEnd"/>
      <w:r>
        <w:rPr>
          <w:rStyle w:val="Textoennegrita"/>
          <w:rFonts w:ascii="Arial" w:hAnsi="Arial" w:cs="Arial"/>
          <w:color w:val="1F2933"/>
        </w:rPr>
        <w:t>:</w:t>
      </w:r>
      <w:r>
        <w:rPr>
          <w:rFonts w:ascii="Arial" w:hAnsi="Arial" w:cs="Arial"/>
          <w:color w:val="1F2933"/>
        </w:rPr>
        <w:t xml:space="preserve"> </w:t>
      </w:r>
      <w:r w:rsidR="00CD78BB">
        <w:rPr>
          <w:rFonts w:ascii="Arial" w:hAnsi="Arial" w:cs="Arial"/>
          <w:color w:val="1F2933"/>
        </w:rPr>
        <w:t>COOPENA</w:t>
      </w:r>
      <w:r w:rsidR="00716973">
        <w:rPr>
          <w:rFonts w:ascii="Arial" w:hAnsi="Arial" w:cs="Arial"/>
          <w:color w:val="1F2933"/>
        </w:rPr>
        <w:t>E</w:t>
      </w:r>
    </w:p>
    <w:p w14:paraId="47C23C82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Style w:val="Textoennegrita"/>
          <w:rFonts w:ascii="Arial" w:hAnsi="Arial" w:cs="Arial"/>
          <w:color w:val="1F2933"/>
        </w:rPr>
        <w:t>Asunto:</w:t>
      </w:r>
      <w:r>
        <w:rPr>
          <w:rFonts w:ascii="Arial" w:hAnsi="Arial" w:cs="Arial"/>
          <w:color w:val="1F2933"/>
        </w:rPr>
        <w:t xml:space="preserve"> Estructura </w:t>
      </w:r>
      <w:proofErr w:type="spellStart"/>
      <w:r>
        <w:rPr>
          <w:rFonts w:ascii="Arial" w:hAnsi="Arial" w:cs="Arial"/>
          <w:color w:val="1F2933"/>
        </w:rPr>
        <w:t>juridica</w:t>
      </w:r>
      <w:proofErr w:type="spellEnd"/>
      <w:r>
        <w:rPr>
          <w:rFonts w:ascii="Arial" w:hAnsi="Arial" w:cs="Arial"/>
          <w:color w:val="1F2933"/>
        </w:rPr>
        <w:t xml:space="preserve"> y documental del proyecto Reserva </w:t>
      </w:r>
      <w:proofErr w:type="spellStart"/>
      <w:r>
        <w:rPr>
          <w:rFonts w:ascii="Arial" w:hAnsi="Arial" w:cs="Arial"/>
          <w:color w:val="1F2933"/>
        </w:rPr>
        <w:t>Irazu</w:t>
      </w:r>
      <w:proofErr w:type="spellEnd"/>
    </w:p>
    <w:p w14:paraId="01982F75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t xml:space="preserve">Por este medio se informa que Reserva </w:t>
      </w:r>
      <w:proofErr w:type="spellStart"/>
      <w:r>
        <w:rPr>
          <w:rFonts w:ascii="Arial" w:hAnsi="Arial" w:cs="Arial"/>
          <w:color w:val="1F2933"/>
        </w:rPr>
        <w:t>Irazu</w:t>
      </w:r>
      <w:proofErr w:type="spellEnd"/>
      <w:r>
        <w:rPr>
          <w:rFonts w:ascii="Arial" w:hAnsi="Arial" w:cs="Arial"/>
          <w:color w:val="1F2933"/>
        </w:rPr>
        <w:t xml:space="preserve"> opera bajo una estructura societaria privada mediante una sociedad propietaria de una finca matriz. Los compradores adquieren paquetes accionarios compuestos por acciones comunes y/o preferentes, asociados internamente a sectores de uso privativo conforme a una Tabla de Aparejamiento aprobada por la sociedad.</w:t>
      </w:r>
    </w:p>
    <w:p w14:paraId="46614204" w14:textId="77777777" w:rsidR="00000000" w:rsidRDefault="00000000">
      <w:pPr>
        <w:pStyle w:val="Ttulo2"/>
        <w:divId w:val="20745462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Naturaleza del activo financiable</w:t>
      </w:r>
    </w:p>
    <w:p w14:paraId="1C2E7B3C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t>El activo del comprador no es una finca filial, lote segregado ni unidad condominal inscrita. El activo financiable consiste en acciones de la sociedad y derechos societarios/contractuales asociados al sector interno correspondiente.</w:t>
      </w:r>
    </w:p>
    <w:p w14:paraId="3E3A5B54" w14:textId="77777777" w:rsidR="00000000" w:rsidRDefault="00000000">
      <w:pPr>
        <w:pStyle w:val="Ttulo2"/>
        <w:divId w:val="20745462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Documentos que respaldan la estructura</w:t>
      </w:r>
    </w:p>
    <w:p w14:paraId="5FCE77A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>Estatutos sociales y reforma/</w:t>
      </w: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emision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 xml:space="preserve"> accionaria.</w:t>
      </w:r>
    </w:p>
    <w:p w14:paraId="0ED0850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>Tabla de aparejamiento de acciones y sectores internos.</w:t>
      </w:r>
    </w:p>
    <w:p w14:paraId="708D1F9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>Acuerdo de Accionistas.</w:t>
      </w:r>
    </w:p>
    <w:p w14:paraId="71018B7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>Contrato de compraventa de acciones.</w:t>
      </w:r>
    </w:p>
    <w:p w14:paraId="63513E0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 xml:space="preserve">Acuerdo de </w:t>
      </w: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Adhesion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>.</w:t>
      </w:r>
    </w:p>
    <w:p w14:paraId="3EC6A4D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 xml:space="preserve">Reglamento Interno y Reglamento de </w:t>
      </w: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Construccion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>.</w:t>
      </w:r>
    </w:p>
    <w:p w14:paraId="65AE61F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Politica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 xml:space="preserve"> de </w:t>
      </w: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Garantias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 xml:space="preserve"> y Prendas.</w:t>
      </w:r>
    </w:p>
    <w:p w14:paraId="6DF1DBE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Certificacion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 xml:space="preserve"> societaria y asiento en Libro de Registro de Accionistas.</w:t>
      </w:r>
    </w:p>
    <w:p w14:paraId="728D570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2074546213"/>
        <w:rPr>
          <w:rFonts w:ascii="Arial" w:eastAsia="Times New Roman" w:hAnsi="Arial" w:cs="Arial"/>
          <w:color w:val="1F2933"/>
          <w:sz w:val="23"/>
          <w:szCs w:val="23"/>
        </w:rPr>
      </w:pPr>
      <w:r>
        <w:rPr>
          <w:rFonts w:ascii="Arial" w:eastAsia="Times New Roman" w:hAnsi="Arial" w:cs="Arial"/>
          <w:color w:val="1F2933"/>
          <w:sz w:val="23"/>
          <w:szCs w:val="23"/>
        </w:rPr>
        <w:t xml:space="preserve">Matriz de no </w:t>
      </w:r>
      <w:proofErr w:type="spellStart"/>
      <w:r>
        <w:rPr>
          <w:rFonts w:ascii="Arial" w:eastAsia="Times New Roman" w:hAnsi="Arial" w:cs="Arial"/>
          <w:color w:val="1F2933"/>
          <w:sz w:val="23"/>
          <w:szCs w:val="23"/>
        </w:rPr>
        <w:t>afectacion</w:t>
      </w:r>
      <w:proofErr w:type="spellEnd"/>
      <w:r>
        <w:rPr>
          <w:rFonts w:ascii="Arial" w:eastAsia="Times New Roman" w:hAnsi="Arial" w:cs="Arial"/>
          <w:color w:val="1F2933"/>
          <w:sz w:val="23"/>
          <w:szCs w:val="23"/>
        </w:rPr>
        <w:t xml:space="preserve"> cruzada.</w:t>
      </w:r>
    </w:p>
    <w:p w14:paraId="3351616B" w14:textId="77777777" w:rsidR="00000000" w:rsidRDefault="00000000">
      <w:pPr>
        <w:pStyle w:val="Ttulo2"/>
        <w:divId w:val="20745462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proofErr w:type="spellStart"/>
      <w:r>
        <w:rPr>
          <w:rFonts w:ascii="Arial" w:eastAsia="Times New Roman" w:hAnsi="Arial" w:cs="Arial"/>
        </w:rPr>
        <w:t>Garantia</w:t>
      </w:r>
      <w:proofErr w:type="spellEnd"/>
      <w:r>
        <w:rPr>
          <w:rFonts w:ascii="Arial" w:eastAsia="Times New Roman" w:hAnsi="Arial" w:cs="Arial"/>
        </w:rPr>
        <w:t xml:space="preserve"> sugerida</w:t>
      </w:r>
    </w:p>
    <w:p w14:paraId="54131BAA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t xml:space="preserve">La </w:t>
      </w:r>
      <w:proofErr w:type="spellStart"/>
      <w:r>
        <w:rPr>
          <w:rFonts w:ascii="Arial" w:hAnsi="Arial" w:cs="Arial"/>
          <w:color w:val="1F2933"/>
        </w:rPr>
        <w:t>garantia</w:t>
      </w:r>
      <w:proofErr w:type="spellEnd"/>
      <w:r>
        <w:rPr>
          <w:rFonts w:ascii="Arial" w:hAnsi="Arial" w:cs="Arial"/>
          <w:color w:val="1F2933"/>
        </w:rPr>
        <w:t xml:space="preserve"> individual recomendada es prenda o </w:t>
      </w:r>
      <w:proofErr w:type="spellStart"/>
      <w:r>
        <w:rPr>
          <w:rFonts w:ascii="Arial" w:hAnsi="Arial" w:cs="Arial"/>
          <w:color w:val="1F2933"/>
        </w:rPr>
        <w:t>cesion</w:t>
      </w:r>
      <w:proofErr w:type="spellEnd"/>
      <w:r>
        <w:rPr>
          <w:rFonts w:ascii="Arial" w:hAnsi="Arial" w:cs="Arial"/>
          <w:color w:val="1F2933"/>
        </w:rPr>
        <w:t xml:space="preserve"> en </w:t>
      </w:r>
      <w:proofErr w:type="spellStart"/>
      <w:r>
        <w:rPr>
          <w:rFonts w:ascii="Arial" w:hAnsi="Arial" w:cs="Arial"/>
          <w:color w:val="1F2933"/>
        </w:rPr>
        <w:t>garantia</w:t>
      </w:r>
      <w:proofErr w:type="spellEnd"/>
      <w:r>
        <w:rPr>
          <w:rFonts w:ascii="Arial" w:hAnsi="Arial" w:cs="Arial"/>
          <w:color w:val="1F2933"/>
        </w:rPr>
        <w:t xml:space="preserve"> sobre el paquete accionario del deudor, con asiento preventivo en el Libro de Registro de Accionistas y </w:t>
      </w:r>
      <w:proofErr w:type="spellStart"/>
      <w:r>
        <w:rPr>
          <w:rFonts w:ascii="Arial" w:hAnsi="Arial" w:cs="Arial"/>
          <w:color w:val="1F2933"/>
        </w:rPr>
        <w:t>aceptacion</w:t>
      </w:r>
      <w:proofErr w:type="spellEnd"/>
      <w:r>
        <w:rPr>
          <w:rFonts w:ascii="Arial" w:hAnsi="Arial" w:cs="Arial"/>
          <w:color w:val="1F2933"/>
        </w:rPr>
        <w:t xml:space="preserve"> expresa por el acreedor de los estatutos, reglamentos, restricciones de transferencia y naturaleza societaria del derecho.</w:t>
      </w:r>
    </w:p>
    <w:p w14:paraId="7C1921C5" w14:textId="77777777" w:rsidR="00000000" w:rsidRDefault="00000000">
      <w:pPr>
        <w:pStyle w:val="Ttulo2"/>
        <w:divId w:val="20745462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4. No </w:t>
      </w:r>
      <w:proofErr w:type="spellStart"/>
      <w:r>
        <w:rPr>
          <w:rFonts w:ascii="Arial" w:eastAsia="Times New Roman" w:hAnsi="Arial" w:cs="Arial"/>
        </w:rPr>
        <w:t>afectacion</w:t>
      </w:r>
      <w:proofErr w:type="spellEnd"/>
      <w:r>
        <w:rPr>
          <w:rFonts w:ascii="Arial" w:eastAsia="Times New Roman" w:hAnsi="Arial" w:cs="Arial"/>
        </w:rPr>
        <w:t xml:space="preserve"> cruzada</w:t>
      </w:r>
    </w:p>
    <w:p w14:paraId="6B317AAD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t xml:space="preserve">La mora o incumplimiento de un accionista no afecta </w:t>
      </w:r>
      <w:proofErr w:type="spellStart"/>
      <w:r>
        <w:rPr>
          <w:rFonts w:ascii="Arial" w:hAnsi="Arial" w:cs="Arial"/>
          <w:color w:val="1F2933"/>
        </w:rPr>
        <w:t>automaticamente</w:t>
      </w:r>
      <w:proofErr w:type="spellEnd"/>
      <w:r>
        <w:rPr>
          <w:rFonts w:ascii="Arial" w:hAnsi="Arial" w:cs="Arial"/>
          <w:color w:val="1F2933"/>
        </w:rPr>
        <w:t xml:space="preserve"> los derechos de otros accionistas. La </w:t>
      </w:r>
      <w:proofErr w:type="spellStart"/>
      <w:r>
        <w:rPr>
          <w:rFonts w:ascii="Arial" w:hAnsi="Arial" w:cs="Arial"/>
          <w:color w:val="1F2933"/>
        </w:rPr>
        <w:t>ejecucion</w:t>
      </w:r>
      <w:proofErr w:type="spellEnd"/>
      <w:r>
        <w:rPr>
          <w:rFonts w:ascii="Arial" w:hAnsi="Arial" w:cs="Arial"/>
          <w:color w:val="1F2933"/>
        </w:rPr>
        <w:t xml:space="preserve"> de una </w:t>
      </w:r>
      <w:proofErr w:type="spellStart"/>
      <w:r>
        <w:rPr>
          <w:rFonts w:ascii="Arial" w:hAnsi="Arial" w:cs="Arial"/>
          <w:color w:val="1F2933"/>
        </w:rPr>
        <w:t>garantia</w:t>
      </w:r>
      <w:proofErr w:type="spellEnd"/>
      <w:r>
        <w:rPr>
          <w:rFonts w:ascii="Arial" w:hAnsi="Arial" w:cs="Arial"/>
          <w:color w:val="1F2933"/>
        </w:rPr>
        <w:t xml:space="preserve"> individual no faculta al acreedor a afectar </w:t>
      </w:r>
      <w:proofErr w:type="spellStart"/>
      <w:r>
        <w:rPr>
          <w:rFonts w:ascii="Arial" w:hAnsi="Arial" w:cs="Arial"/>
          <w:color w:val="1F2933"/>
        </w:rPr>
        <w:t>areas</w:t>
      </w:r>
      <w:proofErr w:type="spellEnd"/>
      <w:r>
        <w:rPr>
          <w:rFonts w:ascii="Arial" w:hAnsi="Arial" w:cs="Arial"/>
          <w:color w:val="1F2933"/>
        </w:rPr>
        <w:t xml:space="preserve"> comunes, sectores de terceros ni la finca matriz, salvo acuerdo societario especial conforme a estatutos.</w:t>
      </w:r>
    </w:p>
    <w:p w14:paraId="643C1F47" w14:textId="77777777" w:rsidR="00000000" w:rsidRDefault="00000000">
      <w:pPr>
        <w:pStyle w:val="NormalWeb"/>
        <w:divId w:val="347876955"/>
        <w:rPr>
          <w:rFonts w:ascii="Arial" w:hAnsi="Arial" w:cs="Arial"/>
          <w:color w:val="1F2933"/>
        </w:rPr>
      </w:pPr>
      <w:r>
        <w:rPr>
          <w:rStyle w:val="Textoennegrita"/>
          <w:rFonts w:ascii="Arial" w:hAnsi="Arial" w:cs="Arial"/>
          <w:color w:val="1F2933"/>
        </w:rPr>
        <w:t>Texto sugerido para el expediente bancario:</w:t>
      </w:r>
      <w:r>
        <w:rPr>
          <w:rFonts w:ascii="Arial" w:hAnsi="Arial" w:cs="Arial"/>
          <w:color w:val="1F2933"/>
        </w:rPr>
        <w:t xml:space="preserve"> El banco declara conocer que el financiamiento recae sobre acciones y derechos societarios asociados, no sobre una finca independiente, y que cualquier adjudicatario </w:t>
      </w:r>
      <w:proofErr w:type="spellStart"/>
      <w:r>
        <w:rPr>
          <w:rFonts w:ascii="Arial" w:hAnsi="Arial" w:cs="Arial"/>
          <w:color w:val="1F2933"/>
        </w:rPr>
        <w:t>debera</w:t>
      </w:r>
      <w:proofErr w:type="spellEnd"/>
      <w:r>
        <w:rPr>
          <w:rFonts w:ascii="Arial" w:hAnsi="Arial" w:cs="Arial"/>
          <w:color w:val="1F2933"/>
        </w:rPr>
        <w:t xml:space="preserve"> adherirse a los estatutos y reglamentos de Reserva </w:t>
      </w:r>
      <w:proofErr w:type="spellStart"/>
      <w:r>
        <w:rPr>
          <w:rFonts w:ascii="Arial" w:hAnsi="Arial" w:cs="Arial"/>
          <w:color w:val="1F2933"/>
        </w:rPr>
        <w:t>Irazu</w:t>
      </w:r>
      <w:proofErr w:type="spellEnd"/>
      <w:r>
        <w:rPr>
          <w:rFonts w:ascii="Arial" w:hAnsi="Arial" w:cs="Arial"/>
          <w:color w:val="1F2933"/>
        </w:rPr>
        <w:t xml:space="preserve"> antes de ser reconocido como accionista.</w:t>
      </w:r>
    </w:p>
    <w:p w14:paraId="7188DE4D" w14:textId="77777777" w:rsidR="00000000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t>Atentamente,</w:t>
      </w:r>
    </w:p>
    <w:p w14:paraId="2AC52550" w14:textId="6A3B5C16" w:rsidR="00E17CB6" w:rsidRDefault="00000000">
      <w:pPr>
        <w:pStyle w:val="NormalWeb"/>
        <w:divId w:val="2074546213"/>
        <w:rPr>
          <w:rFonts w:ascii="Arial" w:hAnsi="Arial" w:cs="Arial"/>
          <w:color w:val="1F2933"/>
        </w:rPr>
      </w:pPr>
      <w:r>
        <w:rPr>
          <w:rFonts w:ascii="Arial" w:hAnsi="Arial" w:cs="Arial"/>
          <w:color w:val="1F2933"/>
        </w:rPr>
        <w:br/>
      </w:r>
      <w:r>
        <w:rPr>
          <w:rFonts w:ascii="Arial" w:hAnsi="Arial" w:cs="Arial"/>
          <w:color w:val="1F2933"/>
        </w:rPr>
        <w:br/>
        <w:t>____________________________</w:t>
      </w:r>
      <w:r>
        <w:rPr>
          <w:rFonts w:ascii="Arial" w:hAnsi="Arial" w:cs="Arial"/>
          <w:color w:val="1F2933"/>
        </w:rPr>
        <w:br/>
      </w:r>
      <w:r w:rsidR="00EC2651">
        <w:rPr>
          <w:rFonts w:ascii="Arial" w:hAnsi="Arial" w:cs="Arial"/>
          <w:color w:val="1F2933"/>
        </w:rPr>
        <w:t xml:space="preserve">Hilda Villanueva </w:t>
      </w:r>
      <w:proofErr w:type="spellStart"/>
      <w:r w:rsidR="00EC2651">
        <w:rPr>
          <w:rFonts w:ascii="Arial" w:hAnsi="Arial" w:cs="Arial"/>
          <w:color w:val="1F2933"/>
        </w:rPr>
        <w:t>Ramirez</w:t>
      </w:r>
      <w:proofErr w:type="spellEnd"/>
      <w:r>
        <w:rPr>
          <w:rFonts w:ascii="Arial" w:hAnsi="Arial" w:cs="Arial"/>
          <w:color w:val="1F2933"/>
        </w:rPr>
        <w:br/>
      </w:r>
      <w:proofErr w:type="spellStart"/>
      <w:r w:rsidR="00EC2651">
        <w:rPr>
          <w:rFonts w:ascii="Arial" w:hAnsi="Arial" w:cs="Arial"/>
          <w:color w:val="1F2933"/>
        </w:rPr>
        <w:t>Nambi</w:t>
      </w:r>
      <w:proofErr w:type="spellEnd"/>
      <w:r w:rsidR="00EC2651">
        <w:rPr>
          <w:rFonts w:ascii="Arial" w:hAnsi="Arial" w:cs="Arial"/>
          <w:color w:val="1F2933"/>
        </w:rPr>
        <w:t xml:space="preserve"> Living S.A</w:t>
      </w:r>
    </w:p>
    <w:sectPr w:rsidR="00E17C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5F61"/>
    <w:multiLevelType w:val="multilevel"/>
    <w:tmpl w:val="8DA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5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51"/>
    <w:rsid w:val="00716973"/>
    <w:rsid w:val="00CD78BB"/>
    <w:rsid w:val="00E17CB6"/>
    <w:rsid w:val="00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BE99F0F"/>
  <w15:chartTrackingRefBased/>
  <w15:docId w15:val="{52004746-9686-1F46-9544-DF7F5080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pPr>
      <w:spacing w:before="390" w:after="100" w:afterAutospacing="1"/>
      <w:outlineLvl w:val="1"/>
    </w:pPr>
    <w:rPr>
      <w:b/>
      <w:bCs/>
      <w:color w:val="102A4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3"/>
      <w:szCs w:val="23"/>
    </w:rPr>
  </w:style>
  <w:style w:type="paragraph" w:customStyle="1" w:styleId="brand">
    <w:name w:val="brand"/>
    <w:basedOn w:val="Normal"/>
    <w:pPr>
      <w:pBdr>
        <w:bottom w:val="single" w:sz="12" w:space="11" w:color="1F2933"/>
      </w:pBdr>
      <w:spacing w:before="100" w:beforeAutospacing="1" w:after="390"/>
    </w:pPr>
    <w:rPr>
      <w:sz w:val="23"/>
      <w:szCs w:val="23"/>
    </w:rPr>
  </w:style>
  <w:style w:type="paragraph" w:customStyle="1" w:styleId="box">
    <w:name w:val="box"/>
    <w:basedOn w:val="Normal"/>
    <w:pPr>
      <w:pBdr>
        <w:top w:val="single" w:sz="6" w:space="11" w:color="9FB3C8"/>
        <w:left w:val="single" w:sz="6" w:space="11" w:color="9FB3C8"/>
        <w:bottom w:val="single" w:sz="6" w:space="11" w:color="9FB3C8"/>
        <w:right w:val="single" w:sz="6" w:space="11" w:color="9FB3C8"/>
      </w:pBdr>
      <w:spacing w:before="240" w:after="240"/>
    </w:pPr>
    <w:rPr>
      <w:sz w:val="23"/>
      <w:szCs w:val="23"/>
    </w:r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46213">
      <w:bodyDiv w:val="1"/>
      <w:marLeft w:val="660"/>
      <w:marRight w:val="660"/>
      <w:marTop w:val="660"/>
      <w:marBottom w:val="6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92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single" w:sz="12" w:space="11" w:color="1F2933"/>
            <w:right w:val="none" w:sz="0" w:space="0" w:color="auto"/>
          </w:divBdr>
        </w:div>
        <w:div w:id="347876955">
          <w:marLeft w:val="0"/>
          <w:marRight w:val="0"/>
          <w:marTop w:val="240"/>
          <w:marBottom w:val="240"/>
          <w:divBdr>
            <w:top w:val="single" w:sz="6" w:space="11" w:color="9FB3C8"/>
            <w:left w:val="single" w:sz="6" w:space="11" w:color="9FB3C8"/>
            <w:bottom w:val="single" w:sz="6" w:space="11" w:color="9FB3C8"/>
            <w:right w:val="single" w:sz="6" w:space="11" w:color="9FB3C8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Navarro Jiménez</dc:creator>
  <cp:keywords/>
  <dc:description/>
  <cp:lastModifiedBy>Jose Navarro Jiménez</cp:lastModifiedBy>
  <cp:revision>3</cp:revision>
  <dcterms:created xsi:type="dcterms:W3CDTF">2026-05-14T22:53:00Z</dcterms:created>
  <dcterms:modified xsi:type="dcterms:W3CDTF">2026-05-14T22:53:00Z</dcterms:modified>
</cp:coreProperties>
</file>